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5BF41" w14:textId="270EE046" w:rsidR="003104EC" w:rsidRPr="003104EC" w:rsidRDefault="006D07F2" w:rsidP="003104EC">
      <w:pPr>
        <w:pStyle w:val="NormalWeb"/>
        <w:rPr>
          <w:lang w:val="en-US"/>
        </w:rPr>
      </w:pPr>
      <w:r>
        <w:rPr>
          <w:rStyle w:val="Robust"/>
          <w:lang w:val="en-US"/>
        </w:rPr>
        <w:t>…..</w:t>
      </w:r>
      <w:r w:rsidR="003104EC" w:rsidRPr="003104EC">
        <w:rPr>
          <w:lang w:val="en-US"/>
        </w:rPr>
        <w:br/>
      </w:r>
      <w:r>
        <w:rPr>
          <w:lang w:val="en-US"/>
        </w:rPr>
        <w:t>…</w:t>
      </w:r>
      <w:r w:rsidR="003104EC" w:rsidRPr="003104EC">
        <w:rPr>
          <w:lang w:val="en-US"/>
        </w:rPr>
        <w:t xml:space="preserve"> National Revenue Administration (KAS)</w:t>
      </w:r>
      <w:r w:rsidR="003104EC" w:rsidRPr="003104EC">
        <w:rPr>
          <w:lang w:val="en-US"/>
        </w:rPr>
        <w:br/>
        <w:t>12 Świętokrzyska Street</w:t>
      </w:r>
      <w:r w:rsidR="003104EC" w:rsidRPr="003104EC">
        <w:rPr>
          <w:lang w:val="en-US"/>
        </w:rPr>
        <w:br/>
        <w:t>00-916 Warsaw</w:t>
      </w:r>
    </w:p>
    <w:p w14:paraId="69A7149A" w14:textId="77777777" w:rsidR="003104EC" w:rsidRPr="003104EC" w:rsidRDefault="003104EC" w:rsidP="003104EC">
      <w:pPr>
        <w:pStyle w:val="NormalWeb"/>
        <w:jc w:val="both"/>
        <w:rPr>
          <w:lang w:val="en-US"/>
        </w:rPr>
      </w:pPr>
      <w:r w:rsidRPr="003104EC">
        <w:rPr>
          <w:rStyle w:val="Robust"/>
          <w:lang w:val="en-US"/>
        </w:rPr>
        <w:t>Subject: Request for urgent intervention and harmonization of KAS authorities’ practice in cases concerning the liability of carriers, freight forwarders, and principal obligors for customs duties and taxes arising from incorrect tariff classification, description, or declaration of goods in containers covered by the transit procedure</w:t>
      </w:r>
    </w:p>
    <w:p w14:paraId="49CE38AD" w14:textId="73A74274" w:rsidR="003104EC" w:rsidRPr="003104EC" w:rsidRDefault="003104EC" w:rsidP="003104EC">
      <w:pPr>
        <w:pStyle w:val="NormalWeb"/>
        <w:jc w:val="both"/>
        <w:rPr>
          <w:lang w:val="en-US"/>
        </w:rPr>
      </w:pPr>
      <w:r w:rsidRPr="003104EC">
        <w:rPr>
          <w:lang w:val="en-US"/>
        </w:rPr>
        <w:t xml:space="preserve">Dear </w:t>
      </w:r>
      <w:r w:rsidR="006D07F2">
        <w:rPr>
          <w:lang w:val="en-US"/>
        </w:rPr>
        <w:t>….</w:t>
      </w:r>
      <w:r w:rsidRPr="003104EC">
        <w:rPr>
          <w:lang w:val="en-US"/>
        </w:rPr>
        <w:t>,</w:t>
      </w:r>
    </w:p>
    <w:p w14:paraId="076131CC" w14:textId="14071B5A" w:rsidR="003104EC" w:rsidRPr="003104EC" w:rsidRDefault="003104EC" w:rsidP="003104EC">
      <w:pPr>
        <w:pStyle w:val="NormalWeb"/>
        <w:jc w:val="both"/>
        <w:rPr>
          <w:lang w:val="en-US"/>
        </w:rPr>
      </w:pPr>
      <w:r w:rsidRPr="003104EC">
        <w:rPr>
          <w:lang w:val="en-US"/>
        </w:rPr>
        <w:t xml:space="preserve">Acting on behalf of the Polish International Freight Forwarders Association (Polska Izba Spedycji i Logistyki – PISiL), based in Gdynia and representing enterprises operating in the freight forwarding, logistics, and transport sectors, we respectfully request the urgent intervention </w:t>
      </w:r>
      <w:r w:rsidR="006D07F2">
        <w:rPr>
          <w:lang w:val="en-US"/>
        </w:rPr>
        <w:t>…..</w:t>
      </w:r>
      <w:r w:rsidRPr="003104EC">
        <w:rPr>
          <w:lang w:val="en-US"/>
        </w:rPr>
        <w:t xml:space="preserve"> of the National Revenue Administration regarding the practice of customs and tax authorities consisting in attributing liability to carriers, freight forwarders, and principal obligors under the transit procedure for unpaid customs duties, VAT, and other public-law charges in situations where the authorities’ findings are based on irregularities relating to tariff classification, descriptions, CN codes, or the declared contents of sealed containers.</w:t>
      </w:r>
    </w:p>
    <w:p w14:paraId="36C016A2" w14:textId="77777777" w:rsidR="003104EC" w:rsidRPr="003104EC" w:rsidRDefault="003104EC" w:rsidP="003104EC">
      <w:pPr>
        <w:pStyle w:val="NormalWeb"/>
        <w:jc w:val="both"/>
        <w:rPr>
          <w:lang w:val="en-US"/>
        </w:rPr>
      </w:pPr>
      <w:r w:rsidRPr="003104EC">
        <w:rPr>
          <w:lang w:val="en-US"/>
        </w:rPr>
        <w:t>On 21 October 2025, the Polish International Freight Forwarders Association submitted a proposal to the Ministry of Finance – Customs Department, calling for a change in practice concerning the liability of the principal obligor for the tariff classification of goods under the transit procedure. In that letter, we pointed out that assigning financial liability to the principal obligor for classification errors contained in transit documents, despite the proper completion of the transit operation, lacks sufficient support in the framework of EU customs law, violates the principle of proportionality, and effectively transfers to logistics operators risks that they are not realistically able to control.</w:t>
      </w:r>
    </w:p>
    <w:p w14:paraId="02310F2F" w14:textId="1D485B2F" w:rsidR="003104EC" w:rsidRPr="003104EC" w:rsidRDefault="003104EC" w:rsidP="003104EC">
      <w:pPr>
        <w:pStyle w:val="NormalWeb"/>
        <w:jc w:val="both"/>
        <w:rPr>
          <w:lang w:val="en-US"/>
        </w:rPr>
      </w:pPr>
      <w:r w:rsidRPr="003104EC">
        <w:rPr>
          <w:lang w:val="en-US"/>
        </w:rPr>
        <w:t xml:space="preserve">The matter remains current, and its scale has increased significantly. The Association continues to receive reports from businesses operating in the </w:t>
      </w:r>
      <w:r w:rsidR="0072792A">
        <w:rPr>
          <w:lang w:val="en-US"/>
        </w:rPr>
        <w:t>….</w:t>
      </w:r>
      <w:r w:rsidRPr="003104EC">
        <w:rPr>
          <w:lang w:val="en-US"/>
        </w:rPr>
        <w:t xml:space="preserve"> transshipment area, including railway carriers, logistics operators, and freight forwarders, concerning a large number of decisions issued by customs and tax authorities, particularly by the </w:t>
      </w:r>
      <w:r w:rsidR="0072792A">
        <w:rPr>
          <w:lang w:val="en-US"/>
        </w:rPr>
        <w:t>…..</w:t>
      </w:r>
      <w:r w:rsidRPr="003104EC">
        <w:rPr>
          <w:lang w:val="en-US"/>
        </w:rPr>
        <w:t>Customs and Tax Office. According to the information received, these decisions concern liability for customs duties, VAT, and other charges, including anti-dumping duties, relating to goods transported in containers from China to the European Union during the period 2021–2026. Businesses indicate that the amounts imposed under these decisions may exceed the value of their assets many times over and may lead to insolvency or bankruptcy before the legality of the authorities’ position can be reviewed by the courts.</w:t>
      </w:r>
    </w:p>
    <w:p w14:paraId="2F2038BF" w14:textId="77777777" w:rsidR="003104EC" w:rsidRPr="003104EC" w:rsidRDefault="003104EC" w:rsidP="003104EC">
      <w:pPr>
        <w:pStyle w:val="NormalWeb"/>
        <w:jc w:val="both"/>
        <w:rPr>
          <w:lang w:val="en-US"/>
        </w:rPr>
      </w:pPr>
      <w:r w:rsidRPr="003104EC">
        <w:rPr>
          <w:lang w:val="en-US"/>
        </w:rPr>
        <w:t>The issue is therefore not merely individual in nature but systemic. It concerns the functioning of the entire New Silk Road corridor through Poland, Poland’s position as a transit state on the eastern border of the European Union, and the security of conducting business activities by Polish TSL (Transport, Shipping and Logistics) enterprises. The current approach of the authorities may result in a situation where carriers, freight forwarders, and logistics operators are forced either to accept unlimited, difficult-to-estimate, and in practice uninsurable customs and tax risks, to refuse handling certain cargo flows, or to undertake operationally impossible actions, such as physically inspecting every container to verify the conformity of its contents with the accompanying documentation.</w:t>
      </w:r>
    </w:p>
    <w:p w14:paraId="022DB37C" w14:textId="77777777" w:rsidR="003104EC" w:rsidRPr="003104EC" w:rsidRDefault="003104EC" w:rsidP="003104EC">
      <w:pPr>
        <w:pStyle w:val="NormalWeb"/>
        <w:jc w:val="both"/>
        <w:rPr>
          <w:lang w:val="en-US"/>
        </w:rPr>
      </w:pPr>
      <w:r w:rsidRPr="003104EC">
        <w:rPr>
          <w:lang w:val="en-US"/>
        </w:rPr>
        <w:lastRenderedPageBreak/>
        <w:t>Of fundamental importance is the fact that a railway carrier, freight forwarder, or principal obligor under the transit procedure generally acts on the basis of information and documents provided by the consignor, importer, owner of the goods, or another party earlier in the supply chain. Under the typical model for handling railway containers, such entities have no realistic possibility of opening sealed containers and examining their contents in detail. Nor do they possess the powers or instruments available to customs authorities, such as customs inspections, X-ray scanners, risk analysis tools, access to operational intelligence, or the authority to detain and thoroughly examine goods. In the case of thousands of containers crossing the border, such activities would be not only economically unreasonable but also technically impossible without causing paralysis of border operations.</w:t>
      </w:r>
    </w:p>
    <w:p w14:paraId="2E4B5A17" w14:textId="77777777" w:rsidR="003104EC" w:rsidRPr="003104EC" w:rsidRDefault="003104EC" w:rsidP="003104EC">
      <w:pPr>
        <w:pStyle w:val="NormalWeb"/>
        <w:jc w:val="both"/>
        <w:rPr>
          <w:lang w:val="en-US"/>
        </w:rPr>
      </w:pPr>
      <w:r w:rsidRPr="003104EC">
        <w:rPr>
          <w:lang w:val="en-US"/>
        </w:rPr>
        <w:t>Accordingly, it is difficult to accept a practice under which entities providing transport, freight forwarding, or transit services are treated as guarantors of the correctness of tariff classification, customs value, origin, or the actual contents of goods, even though they are not the owners of those goods, do not organize their production, do not prepare their technical specifications, do not benefit from any understatement of customs duties or taxes, and have no effective influence over the content of documentation supplied by foreign consignors, importers, or other commercial entities.</w:t>
      </w:r>
    </w:p>
    <w:p w14:paraId="1BCBE71F" w14:textId="77777777" w:rsidR="003104EC" w:rsidRPr="003104EC" w:rsidRDefault="003104EC" w:rsidP="003104EC">
      <w:pPr>
        <w:pStyle w:val="NormalWeb"/>
        <w:jc w:val="both"/>
        <w:rPr>
          <w:lang w:val="en-US"/>
        </w:rPr>
      </w:pPr>
      <w:r w:rsidRPr="003104EC">
        <w:rPr>
          <w:lang w:val="en-US"/>
        </w:rPr>
        <w:t>In the Association’s view, the current practice requires renewed analysis, above all from the perspective of the structure of the transit procedure and the scope of obligations imposed on the principal obligor under the Union Customs Code (UCC). Pursuant to Article 233(1) UCC, the principal obligor is responsible in particular for presenting the goods intact, together with the required information, at the customs office of destination within the prescribed time limit, while preserving any identification measures applied by customs authorities, and for compliance with the provisions governing the transit procedure. However, this scope of responsibility cannot be interpreted in isolation from the nature of the transit procedure, whose purpose is to allow goods under customs supervision to be moved, rather than to determine the customs duties and taxes applicable upon release for free circulation.</w:t>
      </w:r>
    </w:p>
    <w:p w14:paraId="786E54AB" w14:textId="77777777" w:rsidR="003104EC" w:rsidRPr="003104EC" w:rsidRDefault="003104EC" w:rsidP="003104EC">
      <w:pPr>
        <w:pStyle w:val="NormalWeb"/>
        <w:jc w:val="both"/>
        <w:rPr>
          <w:lang w:val="en-US"/>
        </w:rPr>
      </w:pPr>
      <w:r w:rsidRPr="003104EC">
        <w:rPr>
          <w:lang w:val="en-US"/>
        </w:rPr>
        <w:t>Accordingly, where goods have been presented at the customs office of destination, remained under customs supervision, have not been removed from such supervision, and the transit procedure has been properly discharged, a subsequent reassessment of the CN code, tariff classification, description, or type of goods should not automatically lead to the conclusion that the principal obligor breached transit obligations. In such cases, it is necessary to determine in each instance whether there has been an actual breach of obligations specific to the transit procedure or whether any irregularity instead relates to another customs procedure, particularly release for free circulation, or to the actions of entities responsible for preparing commercial and customs documentation.</w:t>
      </w:r>
    </w:p>
    <w:p w14:paraId="3BB31E1B" w14:textId="77777777" w:rsidR="003104EC" w:rsidRPr="003104EC" w:rsidRDefault="003104EC" w:rsidP="003104EC">
      <w:pPr>
        <w:pStyle w:val="NormalWeb"/>
        <w:jc w:val="both"/>
        <w:rPr>
          <w:lang w:val="en-US"/>
        </w:rPr>
      </w:pPr>
      <w:r w:rsidRPr="003104EC">
        <w:rPr>
          <w:lang w:val="en-US"/>
        </w:rPr>
        <w:t>A clear distinction must be maintained between the procedural roles of the various parties involved in trade. The principal obligor organizes and secures the performance of the transit procedure. By contrast, the importer, declarant, or person on whose behalf a customs declaration for release for free circulation is made is responsible for the correct declaration of goods in the procedure that gives rise to and determines import duties, including proper tariff classification, customs value, origin, and any additional charges. Where duties are understated at the stage of release for free circulation, the assessment of liability should, as a rule, focus on the parties involved in that procedure rather than on the entity that previously performed a purely technical function within the transit operation.</w:t>
      </w:r>
    </w:p>
    <w:p w14:paraId="6196C08E" w14:textId="77777777" w:rsidR="003104EC" w:rsidRPr="003104EC" w:rsidRDefault="003104EC" w:rsidP="003104EC">
      <w:pPr>
        <w:pStyle w:val="NormalWeb"/>
        <w:jc w:val="both"/>
        <w:rPr>
          <w:lang w:val="en-US"/>
        </w:rPr>
      </w:pPr>
      <w:r w:rsidRPr="003104EC">
        <w:rPr>
          <w:lang w:val="en-US"/>
        </w:rPr>
        <w:lastRenderedPageBreak/>
        <w:t>In this context, Articles 77 and 79 UCC are of particular importance. Article 77 UCC concerns a customs debt incurred through the release of non-Union goods for free circulation. In such cases, the debtor is the declarant and, in the case of indirect representation, also the person on whose behalf the customs declaration is made. Where a customs declaration is prepared on the basis of information resulting in the non-collection of all or part of the import duties due, the debtor may also be the person who provided the information required for preparing the declaration and who knew or should have known that such information was incorrect. This structure confirms that liability should primarily rest with the party that influenced the information used to calculate the duties, rather than with an entity whose role was limited to transporting or handling a sealed container under transit.</w:t>
      </w:r>
    </w:p>
    <w:p w14:paraId="6F66041D" w14:textId="77777777" w:rsidR="003104EC" w:rsidRPr="003104EC" w:rsidRDefault="003104EC" w:rsidP="003104EC">
      <w:pPr>
        <w:pStyle w:val="NormalWeb"/>
        <w:jc w:val="both"/>
        <w:rPr>
          <w:lang w:val="en-US"/>
        </w:rPr>
      </w:pPr>
      <w:r w:rsidRPr="003104EC">
        <w:rPr>
          <w:lang w:val="en-US"/>
        </w:rPr>
        <w:t>Article 79 UCC, in turn, concerns customs debts arising from failure to comply with obligations under customs legislation, particularly obligations relating to the entry of non-Union goods into the customs territory of the Union, temporary storage, placement under a customs procedure, or the execution of such procedure. However, this provision should not be used as a basis for automatically charging carriers, freight forwarders, or principal obligors whenever discrepancies in the declaration of goods are discovered after completion of transit. It is necessary to demonstrate which specific obligation imposed on the relevant entity was breached, how that breach is connected to the customs debt, and whether the entity had any real influence over the circumstances that the authority considers to be the basis of liability.</w:t>
      </w:r>
    </w:p>
    <w:p w14:paraId="37B8C864" w14:textId="77777777" w:rsidR="003104EC" w:rsidRPr="003104EC" w:rsidRDefault="003104EC" w:rsidP="003104EC">
      <w:pPr>
        <w:pStyle w:val="NormalWeb"/>
        <w:jc w:val="both"/>
        <w:rPr>
          <w:lang w:val="en-US"/>
        </w:rPr>
      </w:pPr>
      <w:r w:rsidRPr="003104EC">
        <w:rPr>
          <w:lang w:val="en-US"/>
        </w:rPr>
        <w:t>It is not possible to equate responsibility for presenting goods to customs authorities with responsibility for the complete substantive accuracy of commercial and technical information provided by the consignor, owner of the goods, or importer. Such an interpretation would extend the liability of the principal obligor beyond the function of the transit procedure and would effectively transform that party into an entity responsible for risks that properly belong to the importer, manufacturer, consignor, or declarant for release for free circulation.</w:t>
      </w:r>
    </w:p>
    <w:p w14:paraId="69770417" w14:textId="10BB3DD8" w:rsidR="003104EC" w:rsidRPr="003104EC" w:rsidRDefault="003104EC" w:rsidP="003104EC">
      <w:pPr>
        <w:pStyle w:val="NormalWeb"/>
        <w:jc w:val="both"/>
        <w:rPr>
          <w:lang w:val="en-US"/>
        </w:rPr>
      </w:pPr>
      <w:r w:rsidRPr="003104EC">
        <w:rPr>
          <w:lang w:val="en-US"/>
        </w:rPr>
        <w:t>This position is also supported by the logic of EU guidance concerning the transit procedure, including the TAXUD Transit Manual.</w:t>
      </w:r>
      <w:r>
        <w:rPr>
          <w:lang w:val="en-US"/>
        </w:rPr>
        <w:t xml:space="preserve"> </w:t>
      </w:r>
      <w:r w:rsidRPr="003104EC">
        <w:rPr>
          <w:lang w:val="en-US"/>
        </w:rPr>
        <w:t xml:space="preserve">As already noted in the Association’s previous submission, these guidelines distinguish between situations in which a customs debt arises within the transit procedure and events that may be associated with other customs procedures. The purpose of this framework is to determine when a customs debt arises during a transit operation, who the debtor is, and which Member State is responsible for recovering the debt from debtors and guarantors. Typical events giving rise to a customs debt under the transit procedure primarily include unlawful removal of goods from customs supervision or failure to comply with the conditions of the procedure, rather than a mere subsequent reclassification of goods that were duly presented to the customs office of destination and remained under customs supervision. </w:t>
      </w:r>
    </w:p>
    <w:p w14:paraId="15E4CB83" w14:textId="77777777" w:rsidR="003104EC" w:rsidRPr="003104EC" w:rsidRDefault="003104EC" w:rsidP="003104EC">
      <w:pPr>
        <w:pStyle w:val="NormalWeb"/>
        <w:jc w:val="both"/>
        <w:rPr>
          <w:lang w:val="en-US"/>
        </w:rPr>
      </w:pPr>
      <w:r w:rsidRPr="003104EC">
        <w:rPr>
          <w:lang w:val="en-US"/>
        </w:rPr>
        <w:t xml:space="preserve">The TAXUD Transit Manual further indicates that the rules governing the Common and Union Transit Procedures do not cover events giving rise to a customs debt that fall outside those procedures, even where they are functionally connected to them. Such a debt may arise under another customs procedure, in particular upon release for free circulation following completion of transit. This structure confirms that not every irregularity discovered subsequently in relation to goods previously transported under transit may be classified as a transit infringement giving rise to liability on the part of the principal obligor. </w:t>
      </w:r>
    </w:p>
    <w:p w14:paraId="05601C50" w14:textId="77777777" w:rsidR="003104EC" w:rsidRPr="003104EC" w:rsidRDefault="003104EC" w:rsidP="003104EC">
      <w:pPr>
        <w:pStyle w:val="NormalWeb"/>
        <w:jc w:val="both"/>
        <w:rPr>
          <w:lang w:val="en-US"/>
        </w:rPr>
      </w:pPr>
      <w:r w:rsidRPr="003104EC">
        <w:rPr>
          <w:lang w:val="en-US"/>
        </w:rPr>
        <w:t xml:space="preserve">A similar approach should be taken regarding the significance of tariff classification for transit guarantees. A guarantee provided under the transit procedure serves as security against risks </w:t>
      </w:r>
      <w:r w:rsidRPr="003104EC">
        <w:rPr>
          <w:lang w:val="en-US"/>
        </w:rPr>
        <w:lastRenderedPageBreak/>
        <w:t xml:space="preserve">inherent in that procedure. However, this does not mean that the principal obligor assumes full responsibility for the substantive correctness of customs and tax settlements relating to the goods under every subsequent procedure. If the contrary interpretation were accepted, a transit guarantee would cease to serve as security for the proper conduct of the transit operation and would instead become, de facto, a mechanism for transferring to logistics operators liability for irregularities committed by consignors, importers, or other parties involved in trade. </w:t>
      </w:r>
    </w:p>
    <w:p w14:paraId="532AD39F" w14:textId="77777777" w:rsidR="003104EC" w:rsidRPr="003104EC" w:rsidRDefault="003104EC" w:rsidP="003104EC">
      <w:pPr>
        <w:pStyle w:val="NormalWeb"/>
        <w:jc w:val="both"/>
        <w:rPr>
          <w:lang w:val="en-US"/>
        </w:rPr>
      </w:pPr>
      <w:r w:rsidRPr="003104EC">
        <w:rPr>
          <w:lang w:val="en-US"/>
        </w:rPr>
        <w:t xml:space="preserve">In its previous letter to the Ministry, the Association also drew attention to the relevance of the case law of the Court of Justice of the European Union, in particular the judgment in Case C-409/14 </w:t>
      </w:r>
      <w:r w:rsidRPr="003104EC">
        <w:rPr>
          <w:rStyle w:val="Accentuat"/>
          <w:lang w:val="en-US"/>
        </w:rPr>
        <w:t>Schenker</w:t>
      </w:r>
      <w:r w:rsidRPr="003104EC">
        <w:rPr>
          <w:lang w:val="en-US"/>
        </w:rPr>
        <w:t xml:space="preserve">. That case concerned a situation in which an incorrect commodity code had been indicated in documents accompanying a duty-suspension procedure. The Court held that such an error does not necessarily and automatically result in an obligation to pay duties if the goods remained under customs supervision and other information allowed them to be identified. The significance of this judgment lies in the fact that an error in tariff designation cannot automatically be equated with a breach of a customs procedure where customs supervision has not been lost and the authorities have been able to identify the goods. </w:t>
      </w:r>
    </w:p>
    <w:p w14:paraId="2D055B32" w14:textId="77777777" w:rsidR="003104EC" w:rsidRPr="003104EC" w:rsidRDefault="003104EC" w:rsidP="003104EC">
      <w:pPr>
        <w:pStyle w:val="NormalWeb"/>
        <w:jc w:val="both"/>
        <w:rPr>
          <w:lang w:val="en-US"/>
        </w:rPr>
      </w:pPr>
      <w:r w:rsidRPr="003104EC">
        <w:rPr>
          <w:lang w:val="en-US"/>
        </w:rPr>
        <w:t xml:space="preserve">From this perspective, the practice of automatically or quasi-automatically imposing on carriers, freight forwarders, or principal obligors liabilities arising from a subsequent reclassification of goods is difficult to reconcile with the principles of proportionality and individualization of liability. It is impossible to disregard the question of who actually prepared the relevant data, who benefited from any understatement of duties, who had access to information regarding the actual composition, characteristics, or intended use of the goods, and who was in a position to prevent the irregularity. </w:t>
      </w:r>
    </w:p>
    <w:p w14:paraId="41885E3D" w14:textId="77777777" w:rsidR="003104EC" w:rsidRPr="003104EC" w:rsidRDefault="003104EC" w:rsidP="003104EC">
      <w:pPr>
        <w:pStyle w:val="NormalWeb"/>
        <w:jc w:val="both"/>
        <w:rPr>
          <w:lang w:val="en-US"/>
        </w:rPr>
      </w:pPr>
      <w:r w:rsidRPr="003104EC">
        <w:rPr>
          <w:lang w:val="en-US"/>
        </w:rPr>
        <w:t xml:space="preserve">The principle of proportionality requires that measures adopted by public authorities be appropriate to their objective, necessary, and not impose excessive burdens on individuals in relation to the public interest pursued. Protecting the financial interests of the State Treasury and the European Union is undoubtedly an important and legitimate objective. However, this does not justify transferring the entire risk to logistics operators acting in good faith, who neither had any practical possibility of verifying the contents of sealed containers, nor any influence over information provided by consignors or importers, nor any benefit from any understatement of duties. </w:t>
      </w:r>
    </w:p>
    <w:p w14:paraId="2794122B" w14:textId="77777777" w:rsidR="003104EC" w:rsidRPr="003104EC" w:rsidRDefault="003104EC" w:rsidP="003104EC">
      <w:pPr>
        <w:pStyle w:val="NormalWeb"/>
        <w:jc w:val="both"/>
        <w:rPr>
          <w:lang w:val="en-US"/>
        </w:rPr>
      </w:pPr>
      <w:r w:rsidRPr="003104EC">
        <w:rPr>
          <w:lang w:val="en-US"/>
        </w:rPr>
        <w:t xml:space="preserve">In our view, it is particularly dangerous to treat a carrier or freight forwarder as a party that should have verified the correctness of the CN code, the description of the goods, or their actual contents. Tariff classification frequently requires specialized technical, chemical, material, or product-related knowledge. In the case of machinery, electronic components, industrial products, textiles, composite products, or goods subject to trade-protection measures, proper classification may require access to manufacturers’ documentation, technical specifications, laboratory testing, or knowledge of parameters that a railway carrier or freight forwarder neither possesses nor can independently determine. Requiring logistics operators to perform such a level of verification would, in practice, impose obligations that are impossible to fulfil in the context of large-scale container transport. </w:t>
      </w:r>
    </w:p>
    <w:p w14:paraId="7689C473" w14:textId="77777777" w:rsidR="003104EC" w:rsidRPr="003104EC" w:rsidRDefault="003104EC" w:rsidP="003104EC">
      <w:pPr>
        <w:pStyle w:val="NormalWeb"/>
        <w:jc w:val="both"/>
        <w:rPr>
          <w:lang w:val="en-US"/>
        </w:rPr>
      </w:pPr>
      <w:r w:rsidRPr="003104EC">
        <w:rPr>
          <w:lang w:val="en-US"/>
        </w:rPr>
        <w:t xml:space="preserve">It is also important to note that containers transported by rail are sealed, and opening them is not part of the normal activities of a carrier or freight forwarder. Opening a container would require an appropriate legal basis, procedures, infrastructure, time, location, participation of authorized entities, and often resealing of the cargo. If it were assumed that carriers or freight forwarders must open and inspect every container in order to avoid liability, this would </w:t>
      </w:r>
      <w:r w:rsidRPr="003104EC">
        <w:rPr>
          <w:lang w:val="en-US"/>
        </w:rPr>
        <w:lastRenderedPageBreak/>
        <w:t xml:space="preserve">undermine the very concept of organized container transport and effectively halt the functioning of the rail corridor. </w:t>
      </w:r>
    </w:p>
    <w:p w14:paraId="1E425EE6" w14:textId="77777777" w:rsidR="003104EC" w:rsidRPr="003104EC" w:rsidRDefault="003104EC" w:rsidP="003104EC">
      <w:pPr>
        <w:pStyle w:val="NormalWeb"/>
        <w:jc w:val="both"/>
        <w:rPr>
          <w:lang w:val="en-US"/>
        </w:rPr>
      </w:pPr>
      <w:r w:rsidRPr="003104EC">
        <w:rPr>
          <w:lang w:val="en-US"/>
        </w:rPr>
        <w:t xml:space="preserve">Information provided by businesses indicates that several hundred containers may cross the border daily, and physical inspection of all of them by private operators would be impossible. This would result in congestion, terminal paralysis, reduced fluidity of rail freight traffic, and diversion of cargo to other countries and alternative logistics corridors. Such an outcome would be contrary not only to the interests of businesses but also to the fiscal interests of the State, since a reduction in cargo flows through Poland would also reduce budget revenues, employment, and Poland’s significance as a transit country. </w:t>
      </w:r>
    </w:p>
    <w:p w14:paraId="733F5F6A" w14:textId="77777777" w:rsidR="003104EC" w:rsidRPr="003104EC" w:rsidRDefault="003104EC" w:rsidP="003104EC">
      <w:pPr>
        <w:pStyle w:val="NormalWeb"/>
        <w:jc w:val="both"/>
        <w:rPr>
          <w:lang w:val="en-US"/>
        </w:rPr>
      </w:pPr>
      <w:r w:rsidRPr="003104EC">
        <w:rPr>
          <w:lang w:val="en-US"/>
        </w:rPr>
        <w:t xml:space="preserve">Irrespective of the above, it should be emphasized that customs authorities possess risk analysis and control tools that are unavailable to private operators. Customs administrations can select consignments for inspection, conduct examinations, use X-ray scanning, rely on operational intelligence, cooperate internationally, and identify risk patterns. If a particular problem concerns a large-scale influx of goods inconsistent with the accompanying documentation, it should be addressed at the level of border control systems, information exchange, and risk-selection mechanisms. The authorities’ response cannot be limited to the subsequent recovery of duties from Polish logistics operators whose role in the supply chain was limited and technical in nature. </w:t>
      </w:r>
    </w:p>
    <w:p w14:paraId="613C58BF" w14:textId="77777777" w:rsidR="003104EC" w:rsidRPr="003104EC" w:rsidRDefault="003104EC" w:rsidP="003104EC">
      <w:pPr>
        <w:pStyle w:val="NormalWeb"/>
        <w:jc w:val="both"/>
        <w:rPr>
          <w:lang w:val="en-US"/>
        </w:rPr>
      </w:pPr>
      <w:r w:rsidRPr="003104EC">
        <w:rPr>
          <w:lang w:val="en-US"/>
        </w:rPr>
        <w:t xml:space="preserve">The Association does not challenge the right or obligation of KAS authorities to combat customs and tax fraud. On the contrary, the logistics industry has a strong interest in fair and transparent trade, the elimination of dishonest market participants, and the protection of legitimate businesses. What we object to is a situation in which criminal conduct or unreliability on the part of foreign entities results in Polish carriers and freight forwarders being charged amounts that bear no reasonable relationship to their role, remuneration, ability to exercise control, or degree of influence over the irregularity. </w:t>
      </w:r>
    </w:p>
    <w:p w14:paraId="63257F4F" w14:textId="77777777" w:rsidR="003104EC" w:rsidRPr="003104EC" w:rsidRDefault="003104EC" w:rsidP="003104EC">
      <w:pPr>
        <w:pStyle w:val="NormalWeb"/>
        <w:jc w:val="both"/>
        <w:rPr>
          <w:lang w:val="en-US"/>
        </w:rPr>
      </w:pPr>
      <w:r w:rsidRPr="003104EC">
        <w:rPr>
          <w:lang w:val="en-US"/>
        </w:rPr>
        <w:t xml:space="preserve">Consequently, the current practice may have effects extending far beyond individual proceedings. If the risks associated with providing transit guarantees or participating in rail container transport become impossible to assess and mitigate at the stage of preparing a transit declaration, logistics operators will be forced to limit or discontinue such services. This would effectively weaken or block one of the key transport corridors connecting the European Union with Asia, to the detriment of the economy, public finances, the labour market, and Poland’s international reputation. </w:t>
      </w:r>
    </w:p>
    <w:p w14:paraId="282D2F64" w14:textId="77777777" w:rsidR="003104EC" w:rsidRPr="003104EC" w:rsidRDefault="003104EC" w:rsidP="003104EC">
      <w:pPr>
        <w:pStyle w:val="NormalWeb"/>
        <w:jc w:val="both"/>
        <w:rPr>
          <w:lang w:val="en-US"/>
        </w:rPr>
      </w:pPr>
      <w:r w:rsidRPr="003104EC">
        <w:rPr>
          <w:lang w:val="en-US"/>
        </w:rPr>
        <w:t xml:space="preserve">In light of the foregoing, the Polish International Freight Forwarders Association respectfully requests that the Head of the National Revenue Administration undertake urgent supervisory, coordinating, and interpretative measures aimed at harmonizing the practice of customs and tax authorities and ensuring that the liability of carriers, freight forwarders, and principal obligors is determined with due regard to their actual role, their influence over the content of documentation, the degree of fault attributable to them, their practical ability to control the goods, and the principle of proportionality. </w:t>
      </w:r>
    </w:p>
    <w:p w14:paraId="687FD768" w14:textId="77777777" w:rsidR="003104EC" w:rsidRPr="003104EC" w:rsidRDefault="003104EC" w:rsidP="003104EC">
      <w:pPr>
        <w:pStyle w:val="NormalWeb"/>
        <w:jc w:val="both"/>
        <w:rPr>
          <w:lang w:val="en-US"/>
        </w:rPr>
      </w:pPr>
      <w:r w:rsidRPr="003104EC">
        <w:rPr>
          <w:lang w:val="en-US"/>
        </w:rPr>
        <w:t xml:space="preserve">In particular, we request the issuance of guidelines, explanations, or recommendations for KAS authorities confirming that the proper discharge of a transit procedure, as certified by the customs office of destination, should not result in the automatic imposition upon the principal obligor of customs duties and taxes arising solely from a tariff classification, description, or </w:t>
      </w:r>
      <w:r w:rsidRPr="003104EC">
        <w:rPr>
          <w:lang w:val="en-US"/>
        </w:rPr>
        <w:lastRenderedPageBreak/>
        <w:t xml:space="preserve">declaration of goods that is subsequently challenged, unless an actual breach of transit obligations or the conscious involvement of that party in the irregularity has been demonstrated. </w:t>
      </w:r>
    </w:p>
    <w:p w14:paraId="0B77A6F2" w14:textId="77777777" w:rsidR="003104EC" w:rsidRPr="003104EC" w:rsidRDefault="003104EC" w:rsidP="003104EC">
      <w:pPr>
        <w:pStyle w:val="NormalWeb"/>
        <w:jc w:val="both"/>
        <w:rPr>
          <w:lang w:val="en-US"/>
        </w:rPr>
      </w:pPr>
      <w:r w:rsidRPr="003104EC">
        <w:rPr>
          <w:lang w:val="en-US"/>
        </w:rPr>
        <w:t xml:space="preserve">We further request a review of the practice of treating railway carriers, freight forwarders, and logistics operators as “persons introducing goods into the customs territory of the Union” or as jointly and severally liable debtors in cases where their role was limited to accepting sealed containers for transport, organizing logistics activities, or handling transit formalities on the basis of documentation supplied by other parties. </w:t>
      </w:r>
    </w:p>
    <w:p w14:paraId="084C568D" w14:textId="77777777" w:rsidR="003104EC" w:rsidRPr="003104EC" w:rsidRDefault="003104EC" w:rsidP="003104EC">
      <w:pPr>
        <w:pStyle w:val="NormalWeb"/>
        <w:jc w:val="both"/>
        <w:rPr>
          <w:lang w:val="en-US"/>
        </w:rPr>
      </w:pPr>
      <w:r w:rsidRPr="003104EC">
        <w:rPr>
          <w:lang w:val="en-US"/>
        </w:rPr>
        <w:t xml:space="preserve">We also request that regional authorities be instructed to direct their actions, in the first instance, against entities that prepared the documentation, lodged the customs declaration, owned or imported the goods, benefited from the irregularity, or may have had actual influence over the classification, value, origin, or description of the goods. In cases where an authority intends to attribute liability to a logistics operator, it should clearly demonstrate which specific obligation of that operator was breached, how that breach contributed to the incurrence of the customs debt, and why the imposition of liability is proportionate in the circumstances. </w:t>
      </w:r>
    </w:p>
    <w:p w14:paraId="73A12162" w14:textId="77777777" w:rsidR="003104EC" w:rsidRPr="003104EC" w:rsidRDefault="003104EC" w:rsidP="003104EC">
      <w:pPr>
        <w:pStyle w:val="NormalWeb"/>
        <w:jc w:val="both"/>
        <w:rPr>
          <w:lang w:val="en-US"/>
        </w:rPr>
      </w:pPr>
      <w:r w:rsidRPr="003104EC">
        <w:rPr>
          <w:lang w:val="en-US"/>
        </w:rPr>
        <w:t xml:space="preserve">We further request that due account be taken, in ongoing proceedings, of the factual circumstances inherent in container transport, including the inability of carriers and freight forwarders to open and inspect sealed containers, the lack of access to specialized technical information concerning the goods, the absence of powers comparable to those exercised by customs authorities, and the large-scale nature of rail freight operations at the border. </w:t>
      </w:r>
    </w:p>
    <w:p w14:paraId="078A955B" w14:textId="77777777" w:rsidR="003104EC" w:rsidRPr="003104EC" w:rsidRDefault="003104EC" w:rsidP="003104EC">
      <w:pPr>
        <w:pStyle w:val="NormalWeb"/>
        <w:jc w:val="both"/>
        <w:rPr>
          <w:lang w:val="en-US"/>
        </w:rPr>
      </w:pPr>
      <w:r w:rsidRPr="003104EC">
        <w:rPr>
          <w:lang w:val="en-US"/>
        </w:rPr>
        <w:t xml:space="preserve">Given the risk of irreversible economic consequences, we also request that, to the extent permitted by procedural law, enforcement measures or procedural instruments that could lead to the insolvency of businesses before the final adjudication of these matters by the administrative courts be avoided. The enforcement of multi-million-euro liabilities before disputed decisions have undergone judicial review may result in the liquidation of companies that have operated lawfully for many years, created employment, and performed functions essential to the operation of the Polish logistics system. </w:t>
      </w:r>
    </w:p>
    <w:p w14:paraId="6A907522" w14:textId="77777777" w:rsidR="003104EC" w:rsidRPr="003104EC" w:rsidRDefault="003104EC" w:rsidP="003104EC">
      <w:pPr>
        <w:pStyle w:val="NormalWeb"/>
        <w:jc w:val="both"/>
        <w:rPr>
          <w:lang w:val="en-US"/>
        </w:rPr>
      </w:pPr>
      <w:r w:rsidRPr="003104EC">
        <w:rPr>
          <w:lang w:val="en-US"/>
        </w:rPr>
        <w:t xml:space="preserve">We further request the establishment of an urgent working group involving representatives of the Ministry of Finance, the National Revenue Administration, regional authorities, and representatives of the logistics and railway sectors. The purpose of such a group should be to develop practical mechanisms for reducing the risk of customs fraud without paralyzing the lawful activities of carriers and freight forwarders. In particular, consideration should be given to a model of information exchange and early warning that would enable customs authorities and businesses to identify elevated risks relating to specific categories of goods, consignors, consignees, or transport routes, without imposing on businesses the obligation to carry out full physical inspections of every container. </w:t>
      </w:r>
    </w:p>
    <w:p w14:paraId="42EA9894" w14:textId="54EA787E" w:rsidR="003104EC" w:rsidRPr="003104EC" w:rsidRDefault="003104EC" w:rsidP="003104EC">
      <w:pPr>
        <w:pStyle w:val="NormalWeb"/>
        <w:jc w:val="both"/>
        <w:rPr>
          <w:lang w:val="en-US"/>
        </w:rPr>
      </w:pPr>
      <w:r w:rsidRPr="003104EC">
        <w:rPr>
          <w:lang w:val="en-US"/>
        </w:rPr>
        <w:t xml:space="preserve">In our view, this matter requires urgent attention. The current practice may lead to liquidity problems for businesses, including those operating in the </w:t>
      </w:r>
      <w:r w:rsidR="003A620F">
        <w:rPr>
          <w:lang w:val="en-US"/>
        </w:rPr>
        <w:t>…..</w:t>
      </w:r>
      <w:r w:rsidRPr="003104EC">
        <w:rPr>
          <w:lang w:val="en-US"/>
        </w:rPr>
        <w:t xml:space="preserve"> area, a reduction in the availability of transit services, diversion of cargo to competing transport corridors, and a weakening of Poland’s position as a key transit state on the border of the European Union. These consequences may materialize before the administrative courts have had an opportunity to rule definitively on the legality of the authorities’ decisions. </w:t>
      </w:r>
    </w:p>
    <w:p w14:paraId="3CEC4FF1" w14:textId="77777777" w:rsidR="003104EC" w:rsidRPr="003104EC" w:rsidRDefault="003104EC" w:rsidP="003104EC">
      <w:pPr>
        <w:pStyle w:val="NormalWeb"/>
        <w:jc w:val="both"/>
        <w:rPr>
          <w:lang w:val="en-US"/>
        </w:rPr>
      </w:pPr>
      <w:r w:rsidRPr="003104EC">
        <w:rPr>
          <w:lang w:val="en-US"/>
        </w:rPr>
        <w:t xml:space="preserve">We once again emphasize that the Association and its member companies stand ready to cooperate with the National Revenue Administration. The purpose of this submission is not to </w:t>
      </w:r>
      <w:r w:rsidRPr="003104EC">
        <w:rPr>
          <w:lang w:val="en-US"/>
        </w:rPr>
        <w:lastRenderedPageBreak/>
        <w:t xml:space="preserve">evade obligations arising under customs law, but rather to ensure that liability for irregularities is attributed to those entities genuinely responsible for them and is not automatically transferred to participants in the logistics chain whose role is technical, ancillary in nature, and limited by the information available to them. </w:t>
      </w:r>
    </w:p>
    <w:p w14:paraId="50C392C9" w14:textId="54639334" w:rsidR="003104EC" w:rsidRPr="003104EC" w:rsidRDefault="003104EC" w:rsidP="003104EC">
      <w:pPr>
        <w:pStyle w:val="NormalWeb"/>
        <w:jc w:val="both"/>
        <w:rPr>
          <w:lang w:val="en-US"/>
        </w:rPr>
      </w:pPr>
      <w:r w:rsidRPr="003104EC">
        <w:rPr>
          <w:lang w:val="en-US"/>
        </w:rPr>
        <w:t xml:space="preserve">We respectfully request the urgent convening of a working meeting with representatives of PISiL and businesses operating in the </w:t>
      </w:r>
      <w:r w:rsidR="002C62DE">
        <w:rPr>
          <w:lang w:val="en-US"/>
        </w:rPr>
        <w:t>…….</w:t>
      </w:r>
      <w:r w:rsidRPr="003104EC">
        <w:rPr>
          <w:lang w:val="en-US"/>
        </w:rPr>
        <w:t xml:space="preserve">area, as well as communication of the position of the </w:t>
      </w:r>
      <w:r w:rsidR="002C62DE">
        <w:rPr>
          <w:lang w:val="en-US"/>
        </w:rPr>
        <w:t>….</w:t>
      </w:r>
      <w:r w:rsidRPr="003104EC">
        <w:rPr>
          <w:lang w:val="en-US"/>
        </w:rPr>
        <w:t xml:space="preserve">of the National Revenue Administration regarding the possibility of issuing guidelines or taking other supervisory measures aimed at harmonizing the practice of customs and tax authorities in the matters described above. </w:t>
      </w:r>
    </w:p>
    <w:p w14:paraId="79E318BC" w14:textId="77777777" w:rsidR="003104EC" w:rsidRPr="003104EC" w:rsidRDefault="003104EC" w:rsidP="003104EC">
      <w:pPr>
        <w:pStyle w:val="NormalWeb"/>
        <w:rPr>
          <w:lang w:val="en-US"/>
        </w:rPr>
      </w:pPr>
      <w:r w:rsidRPr="003104EC">
        <w:rPr>
          <w:rStyle w:val="Robust"/>
          <w:lang w:val="en-US"/>
        </w:rPr>
        <w:t>Yours faithfully,</w:t>
      </w:r>
    </w:p>
    <w:p w14:paraId="1838DDD5" w14:textId="37B3E71A" w:rsidR="003104EC" w:rsidRPr="003104EC" w:rsidRDefault="002C62DE" w:rsidP="003104EC">
      <w:pPr>
        <w:pStyle w:val="NormalWeb"/>
        <w:rPr>
          <w:lang w:val="en-US"/>
        </w:rPr>
      </w:pPr>
      <w:r>
        <w:rPr>
          <w:lang w:val="en-US"/>
        </w:rPr>
        <w:t>…..</w:t>
      </w:r>
      <w:r w:rsidR="003104EC" w:rsidRPr="003104EC">
        <w:rPr>
          <w:lang w:val="en-US"/>
        </w:rPr>
        <w:br/>
      </w:r>
    </w:p>
    <w:p w14:paraId="65C67682" w14:textId="77777777" w:rsidR="00612172" w:rsidRPr="003104EC" w:rsidRDefault="00612172">
      <w:pPr>
        <w:rPr>
          <w:lang w:val="en-US"/>
        </w:rPr>
      </w:pPr>
    </w:p>
    <w:sectPr w:rsidR="00612172" w:rsidRPr="003104E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B740C" w14:textId="77777777" w:rsidR="0052050D" w:rsidRDefault="0052050D" w:rsidP="003104EC">
      <w:pPr>
        <w:spacing w:after="0" w:line="240" w:lineRule="auto"/>
      </w:pPr>
      <w:r>
        <w:separator/>
      </w:r>
    </w:p>
  </w:endnote>
  <w:endnote w:type="continuationSeparator" w:id="0">
    <w:p w14:paraId="16B57DF7" w14:textId="77777777" w:rsidR="0052050D" w:rsidRDefault="0052050D" w:rsidP="00310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649082"/>
      <w:docPartObj>
        <w:docPartGallery w:val="Page Numbers (Bottom of Page)"/>
        <w:docPartUnique/>
      </w:docPartObj>
    </w:sdtPr>
    <w:sdtContent>
      <w:p w14:paraId="1F1CC653" w14:textId="158E7008" w:rsidR="003104EC" w:rsidRDefault="003104EC">
        <w:pPr>
          <w:pStyle w:val="Subsol"/>
          <w:jc w:val="right"/>
        </w:pPr>
        <w:r>
          <w:fldChar w:fldCharType="begin"/>
        </w:r>
        <w:r>
          <w:instrText>PAGE   \* MERGEFORMAT</w:instrText>
        </w:r>
        <w:r>
          <w:fldChar w:fldCharType="separate"/>
        </w:r>
        <w:r>
          <w:t>2</w:t>
        </w:r>
        <w:r>
          <w:fldChar w:fldCharType="end"/>
        </w:r>
      </w:p>
    </w:sdtContent>
  </w:sdt>
  <w:p w14:paraId="59CA0EFF" w14:textId="77777777" w:rsidR="003104EC" w:rsidRDefault="003104E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491E8" w14:textId="77777777" w:rsidR="0052050D" w:rsidRDefault="0052050D" w:rsidP="003104EC">
      <w:pPr>
        <w:spacing w:after="0" w:line="240" w:lineRule="auto"/>
      </w:pPr>
      <w:r>
        <w:separator/>
      </w:r>
    </w:p>
  </w:footnote>
  <w:footnote w:type="continuationSeparator" w:id="0">
    <w:p w14:paraId="45911F85" w14:textId="77777777" w:rsidR="0052050D" w:rsidRDefault="0052050D" w:rsidP="003104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EC"/>
    <w:rsid w:val="002C62DE"/>
    <w:rsid w:val="003104EC"/>
    <w:rsid w:val="003A620F"/>
    <w:rsid w:val="0052050D"/>
    <w:rsid w:val="00612172"/>
    <w:rsid w:val="006D07F2"/>
    <w:rsid w:val="0072792A"/>
    <w:rsid w:val="0074707D"/>
    <w:rsid w:val="00974368"/>
    <w:rsid w:val="00B41540"/>
    <w:rsid w:val="00D7764E"/>
    <w:rsid w:val="00DA3472"/>
    <w:rsid w:val="00E66AE6"/>
    <w:rsid w:val="00F841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FEF9"/>
  <w15:chartTrackingRefBased/>
  <w15:docId w15:val="{A1F536BA-773D-458C-AE32-E52626DA8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104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3104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3104EC"/>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3104EC"/>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3104EC"/>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3104EC"/>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104EC"/>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104EC"/>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104EC"/>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104EC"/>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3104EC"/>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3104EC"/>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3104EC"/>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3104EC"/>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3104E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104E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104E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104EC"/>
    <w:rPr>
      <w:rFonts w:eastAsiaTheme="majorEastAsia" w:cstheme="majorBidi"/>
      <w:color w:val="272727" w:themeColor="text1" w:themeTint="D8"/>
    </w:rPr>
  </w:style>
  <w:style w:type="paragraph" w:styleId="Titlu">
    <w:name w:val="Title"/>
    <w:basedOn w:val="Normal"/>
    <w:next w:val="Normal"/>
    <w:link w:val="TitluCaracter"/>
    <w:uiPriority w:val="10"/>
    <w:qFormat/>
    <w:rsid w:val="003104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104E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104E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3104E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104E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104EC"/>
    <w:rPr>
      <w:i/>
      <w:iCs/>
      <w:color w:val="404040" w:themeColor="text1" w:themeTint="BF"/>
    </w:rPr>
  </w:style>
  <w:style w:type="paragraph" w:styleId="Listparagraf">
    <w:name w:val="List Paragraph"/>
    <w:basedOn w:val="Normal"/>
    <w:uiPriority w:val="34"/>
    <w:qFormat/>
    <w:rsid w:val="003104EC"/>
    <w:pPr>
      <w:ind w:left="720"/>
      <w:contextualSpacing/>
    </w:pPr>
  </w:style>
  <w:style w:type="character" w:styleId="Accentuareintens">
    <w:name w:val="Intense Emphasis"/>
    <w:basedOn w:val="Fontdeparagrafimplicit"/>
    <w:uiPriority w:val="21"/>
    <w:qFormat/>
    <w:rsid w:val="003104EC"/>
    <w:rPr>
      <w:i/>
      <w:iCs/>
      <w:color w:val="0F4761" w:themeColor="accent1" w:themeShade="BF"/>
    </w:rPr>
  </w:style>
  <w:style w:type="paragraph" w:styleId="Citatintens">
    <w:name w:val="Intense Quote"/>
    <w:basedOn w:val="Normal"/>
    <w:next w:val="Normal"/>
    <w:link w:val="CitatintensCaracter"/>
    <w:uiPriority w:val="30"/>
    <w:qFormat/>
    <w:rsid w:val="003104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3104EC"/>
    <w:rPr>
      <w:i/>
      <w:iCs/>
      <w:color w:val="0F4761" w:themeColor="accent1" w:themeShade="BF"/>
    </w:rPr>
  </w:style>
  <w:style w:type="character" w:styleId="Referireintens">
    <w:name w:val="Intense Reference"/>
    <w:basedOn w:val="Fontdeparagrafimplicit"/>
    <w:uiPriority w:val="32"/>
    <w:qFormat/>
    <w:rsid w:val="003104EC"/>
    <w:rPr>
      <w:b/>
      <w:bCs/>
      <w:smallCaps/>
      <w:color w:val="0F4761" w:themeColor="accent1" w:themeShade="BF"/>
      <w:spacing w:val="5"/>
    </w:rPr>
  </w:style>
  <w:style w:type="paragraph" w:styleId="NormalWeb">
    <w:name w:val="Normal (Web)"/>
    <w:basedOn w:val="Normal"/>
    <w:uiPriority w:val="99"/>
    <w:semiHidden/>
    <w:unhideWhenUsed/>
    <w:rsid w:val="003104EC"/>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Robust">
    <w:name w:val="Strong"/>
    <w:basedOn w:val="Fontdeparagrafimplicit"/>
    <w:uiPriority w:val="22"/>
    <w:qFormat/>
    <w:rsid w:val="003104EC"/>
    <w:rPr>
      <w:b/>
      <w:bCs/>
    </w:rPr>
  </w:style>
  <w:style w:type="character" w:styleId="Accentuat">
    <w:name w:val="Emphasis"/>
    <w:basedOn w:val="Fontdeparagrafimplicit"/>
    <w:uiPriority w:val="20"/>
    <w:qFormat/>
    <w:rsid w:val="003104EC"/>
    <w:rPr>
      <w:i/>
      <w:iCs/>
    </w:rPr>
  </w:style>
  <w:style w:type="paragraph" w:styleId="Antet">
    <w:name w:val="header"/>
    <w:basedOn w:val="Normal"/>
    <w:link w:val="AntetCaracter"/>
    <w:uiPriority w:val="99"/>
    <w:unhideWhenUsed/>
    <w:rsid w:val="003104E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104EC"/>
  </w:style>
  <w:style w:type="paragraph" w:styleId="Subsol">
    <w:name w:val="footer"/>
    <w:basedOn w:val="Normal"/>
    <w:link w:val="SubsolCaracter"/>
    <w:uiPriority w:val="99"/>
    <w:unhideWhenUsed/>
    <w:rsid w:val="003104EC"/>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10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c3c37-071d-4635-9815-91093caafc49">
      <Terms xmlns="http://schemas.microsoft.com/office/infopath/2007/PartnerControls"/>
    </lcf76f155ced4ddcb4097134ff3c332f>
    <TaxCatchAll xmlns="349e4f99-7b1e-4845-ac7b-5cea6b3e37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87F23961AA8549949F0F91CF40BD8C" ma:contentTypeVersion="18" ma:contentTypeDescription="Create a new document." ma:contentTypeScope="" ma:versionID="b148a63d41a84c633d86874f5913d342">
  <xsd:schema xmlns:xsd="http://www.w3.org/2001/XMLSchema" xmlns:xs="http://www.w3.org/2001/XMLSchema" xmlns:p="http://schemas.microsoft.com/office/2006/metadata/properties" xmlns:ns2="1b1c3c37-071d-4635-9815-91093caafc49" xmlns:ns3="349e4f99-7b1e-4845-ac7b-5cea6b3e37ec" targetNamespace="http://schemas.microsoft.com/office/2006/metadata/properties" ma:root="true" ma:fieldsID="6263a827682c10b9cc2dccf439b92567" ns2:_="" ns3:_="">
    <xsd:import namespace="1b1c3c37-071d-4635-9815-91093caafc49"/>
    <xsd:import namespace="349e4f99-7b1e-4845-ac7b-5cea6b3e37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c3c37-071d-4635-9815-91093caaf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c63b726-d74c-4dc2-b634-3b4f0323fc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9e4f99-7b1e-4845-ac7b-5cea6b3e37e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59813d1-77ca-4b4c-9c6d-6878b8508408}" ma:internalName="TaxCatchAll" ma:showField="CatchAllData" ma:web="349e4f99-7b1e-4845-ac7b-5cea6b3e3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ECF26C-9F12-4A2A-AB70-10E217E41745}">
  <ds:schemaRefs>
    <ds:schemaRef ds:uri="http://schemas.microsoft.com/office/2006/metadata/properties"/>
    <ds:schemaRef ds:uri="http://schemas.microsoft.com/office/infopath/2007/PartnerControls"/>
    <ds:schemaRef ds:uri="1b1c3c37-071d-4635-9815-91093caafc49"/>
    <ds:schemaRef ds:uri="349e4f99-7b1e-4845-ac7b-5cea6b3e37ec"/>
  </ds:schemaRefs>
</ds:datastoreItem>
</file>

<file path=customXml/itemProps2.xml><?xml version="1.0" encoding="utf-8"?>
<ds:datastoreItem xmlns:ds="http://schemas.openxmlformats.org/officeDocument/2006/customXml" ds:itemID="{59F5074C-9250-458B-BDBD-9FC6CDFE7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c3c37-071d-4635-9815-91093caafc49"/>
    <ds:schemaRef ds:uri="349e4f99-7b1e-4845-ac7b-5cea6b3e3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282BA1-ACEC-43D4-A384-EEA2B0D13F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3575</Words>
  <Characters>20378</Characters>
  <Application>Microsoft Office Word</Application>
  <DocSecurity>0</DocSecurity>
  <Lines>169</Lines>
  <Paragraphs>47</Paragraphs>
  <ScaleCrop>false</ScaleCrop>
  <Company/>
  <LinksUpToDate>false</LinksUpToDate>
  <CharactersWithSpaces>23906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Janczewska</dc:creator>
  <cp:keywords/>
  <dc:description/>
  <cp:lastModifiedBy>constantin badea</cp:lastModifiedBy>
  <cp:revision>2</cp:revision>
  <dcterms:created xsi:type="dcterms:W3CDTF">2026-06-12T07:57:00Z</dcterms:created>
  <dcterms:modified xsi:type="dcterms:W3CDTF">2026-06-12T07:57:00Z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0x0101005D87F23961AA8549949F0F91CF40BD8C</vt:lpwstr>
  </property>
</Properties>
</file>